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Амурская областная научная библиотека имени Н.Н. Муравьева-Амурского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библиографии и электронных ресурсов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D442FD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составления библиографических пособий</w:t>
      </w:r>
    </w:p>
    <w:bookmarkEnd w:id="0"/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Составитель: Кочнева Л.П.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87" w:rsidRDefault="00BB65D1" w:rsidP="00825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Благовещенск</w:t>
      </w:r>
      <w:r w:rsidR="0082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5D87" w:rsidRDefault="00825D87" w:rsidP="00825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задача любой библ</w:t>
      </w:r>
      <w:r w:rsidR="00825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иотеки – обеспечение свободного и неогра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ниченного доступа к информации, удовлетворение современных информаци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онно-библиографических потребностей пользователей. В связи с этим одним из важнейших направлений библиографической деятельности является созда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библиографической продукции различного вида и содержания.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распространенным способом существования библиографич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информации является библиографическое пособие. 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ГОСТу 7.0-99 «Информационно-библиотечная деятельность, библиография. Термины и определения»,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Библиографическое пособие – это упорядоченное множество библиогр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фических записей;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Библиографический указатель – библиографическое пособие значител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объема со сложной структурой и научно-справочным аппаратом (под сложной структурой понимается наличие в пособии нескольких разделов и подразделов);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Библиографический список – библиографическое пособие с простой структурой;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Библиографический обзор – библиографическое пособие в письменной или устной форме, представляющее собой связное повествование.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библиографических указателей, списков, обзоров предполагает обязательное использование предшествующего опыта и методических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ний. Поэтому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составления любого библиографического пособия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 общие методы библиографирования.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другой стороны, в силу того, что процесс библиографирования является творческим и базируется на интелле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туальном и профессиональном фундаменте знаний и навыков библиографа, наблюдается постоянная тенденция обогащения и модификации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частных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тодик биб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лиографирования.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общей и частной методик библиогр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фирования – одно из главных требований, предъявляемых к профессионал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подготовке библиографа.</w:t>
      </w:r>
      <w:proofErr w:type="gramEnd"/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Общая методика подготовки библиографических пособий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по составлению библиографических пособий складывается из 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готовительного, основного и заключитель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этапов. При создании пособий с простой структурой отдельные этапы или их составные звенья могут опу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каться либо значительно упрощаться.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ПОДГОТОВИТЕЛЬНЫЙ ЭТАП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 в себя выбор и изучение темы, разработку плана-проспекта,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явление документов по теме пособия.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Выбор и изучение темы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осуществляются исходя из новизны, актуально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сти, соответствия темы профилю и возможностям библиотеки, интереса к ней читателей. В ходе изучения темы: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определяется ее обеспеченность литературой,</w:t>
      </w:r>
    </w:p>
    <w:p w:rsidR="00BB65D1" w:rsidRDefault="00BB65D1" w:rsidP="00BB65D1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изучается терминология,</w:t>
      </w:r>
    </w:p>
    <w:p w:rsidR="00BB65D1" w:rsidRDefault="00BB65D1" w:rsidP="00BB65D1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существо самой проблемы.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Завершение пособия лучше ориентировать на «пик»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либо на «подъем» инт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реса к теме, так как пособие, подготовленное при спаде интереса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имеет пр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имущественно исторический интерес и не оправ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дывает затрат на его составл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ние. 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От глубины изучения темы зависит успех всей дальнейшей работы.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План-проспект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является основным документом, регламентирующим на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правления всей дальнейшей работы над библиографическим пособием. Разработка плана-проспекта необходима, прежде всего, при подготовке крупных по объему и сложных по структуре библиографических пособий.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 нем определяется:</w:t>
      </w:r>
    </w:p>
    <w:p w:rsidR="00BB65D1" w:rsidRDefault="00BB65D1" w:rsidP="00BB65D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♦ Целевое и читательское назначение пособия (в помощь самообразованию, в помощь повышению квалификации; для учащихся старших классов, для широкого круга читателей и т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B65D1" w:rsidRDefault="00BB65D1" w:rsidP="00BB65D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♦ Основные принципы отбора литературы:</w:t>
      </w:r>
    </w:p>
    <w:p w:rsidR="00BB65D1" w:rsidRDefault="00BB65D1" w:rsidP="00BB65D1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тематические границы пособия, </w:t>
      </w:r>
    </w:p>
    <w:p w:rsidR="00BB65D1" w:rsidRDefault="00BB65D1" w:rsidP="00BB65D1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хронологические рамки </w:t>
      </w:r>
    </w:p>
    <w:p w:rsidR="00BB65D1" w:rsidRDefault="00BB65D1" w:rsidP="00BB65D1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виды изданий;</w:t>
      </w:r>
    </w:p>
    <w:p w:rsidR="00BB65D1" w:rsidRDefault="00BB65D1" w:rsidP="00BB65D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♦ Структура библиографической записи (будет ли она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сопровождаться аннот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цией);</w:t>
      </w:r>
    </w:p>
    <w:p w:rsidR="00BB65D1" w:rsidRDefault="00BB65D1" w:rsidP="00BB65D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♦ Структура пособия:</w:t>
      </w:r>
    </w:p>
    <w:p w:rsidR="00BB65D1" w:rsidRDefault="00BB65D1" w:rsidP="00BB65D1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способ группировки материалов (алфавитная, хронологическая, си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стематическая или тематическая),</w:t>
      </w:r>
    </w:p>
    <w:p w:rsidR="00BB65D1" w:rsidRDefault="00BB65D1" w:rsidP="00BB65D1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перечень если не всех, то важнейших разделов, рубрик и подрубрик,</w:t>
      </w:r>
    </w:p>
    <w:p w:rsidR="00BB65D1" w:rsidRDefault="00BB65D1" w:rsidP="00BB65D1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состав справочно-поискового аппарата пособия (предисловие, вспо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могательные указатели, приложения, вступительная статья).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 плане-проспекте определяется также условный предполагаемый объем по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softHyphen/>
        <w:t>собия, основные этапы его создания, круг участников-составителей и консультан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тов и их обязанности, сроки завершения работы. При возможности публикации </w:t>
      </w: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бия оговариваются способ печати, вопросы оформления и тираж.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Завершающей операцией подготовительного этапа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выявление документов по теме пособия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поиск и оценка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библиографируемых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док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ментов с целью их последующей обработки.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на этапе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выявления литературы по теме пособия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стоит в максимально полном выявле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документов. Результатом этой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тельности является создание массива библиографи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ческих записей по теме пособия.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ОСНОВНОЙ ЭТАП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Подразделяется на два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подэтапа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аналитический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синтетический.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1-й, аналитический, этап предусматрива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ет работу с каждым документом. Здесь осуществляется библиографический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бор литературы: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● все документы просматриваются визуально, определяется их ценность, соответствуют ли они теме пособия, целевому и читательскому назначению;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● проверяется библиографическое описание документов. Составляется в соответствии с действующими ГОСТами 7.1-2003 «Библиографическая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пись. Библиографическое описание. Общие требования и правила составл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ния», 7.80-2000 «Библиографическая запись. Заголовок. Общие требования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правила составления»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7.0.12–2011 «Библиографическая запись. Сокращ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слов и словосочетаний на русском языке. Общие требования и правила»;</w:t>
      </w:r>
    </w:p>
    <w:p w:rsidR="00BB65D1" w:rsidRDefault="00BB65D1" w:rsidP="00BB65D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● литература распределяется по рубрикам;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● осуществляется аннотирование документов.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Библиографическое описание не всегда дает ясное представление 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держании документа, его характере. Необходимы дополнительные сведения, расширяющие и углубляющие характеристику документа. Эту задачу решает аннотация – краткая характеристика документа, его части или группы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ментов. В первую очередь аннотации необходимы в рекомендательных 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лиографических пособиях. Характер, содержание, объем аннотации зависят от вида, читательского и целевого назначения, структуры пособия, тематики аннотируемых документов. Кроме того, в конкретном библиографическом пособии все аннотации должны быть выдержаны в одном стиле. Аннотации помещают на карточках рабочей картотеки вместе с библиографическими описаниями.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функциональным назначением различают справочные и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комендательные аннотации, по способу характеристики документов –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щие, аналитические и групповые.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Справочная аннотация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уточняет заглавие произведения или сообщает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полнительные (преимущественно фактич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ские) сведения об авторе, о форме, жанре, назначении и других особенностях документа, которые отсутствуют в 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блиографическом описании; такие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нотации должны быть предельно краткими. Справочные аннотации чаще всего применяются в научно-вспомогательных указателях. В рекомендател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пособиях они используются при описании научной, учебной и справо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литературы.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справочной аннотации на статью.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Библиографическое описание: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Иоффе Г. Россия, вставшая на дыбы… / Г. Иоффе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// Наука и жизнь. –  1993. – № 1. – С. 2–5, 8–13.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Аннотация: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Автор статьи – доктор исторических наук, профессор Генрих Зиновь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вич Иоффе представляет новый взгляд  на причины гражданской войны в России 1917–1920 годов.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Библиографическое описание: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Вавилин, 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Туристско-рекреационные особые экономические зоны / М. Вавилин // Законность. – 2012. – № 1. – С. 53–55.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Аннотация: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Правовые проблемы функционирования туристско-рекреационных ос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бых экономических зон.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рекомендательной аннотации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дается характеристика книги или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тьи исходя из потребностей, уровня подготовки, возраста и других особен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ностей той группы пользователей, которым адресовано данное пособие. Главная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задача – заинтересовать читателя. Рекомендательная аннотация не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должна отражать политические, религиозные и другие взгляды составителя и содержать субъективные оценки. Объем рекомендательных аннотаций обы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но превышает объем справочных, хотя требования краткости и точности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здесь остаются в силе.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рекомендательной аннотации.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Библиографическое описание: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Бунин, И. А. Окаянные дни / И. А. Бунин. – Москва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исатель, 1990. – 174 с.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Аннотация: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Это произведение немного по-другому открывает перед нами И.А. Бун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на. Оно написано в виде дневниковых записок. Бунин описывает события 1918–1920 гг. Произведение очень пессимистичное. Описывается безде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ствие интеллигенции того времени. Автор показывает нам взгляд на рев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люцию со стороны беспомощного, растерявшегося, выбитого из жизни 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теллигента.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 аннотации – процесс творческий, и требует от библиографа определенных знаний и навыков, эрудиции и опыта. Умение хорошо аннот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ровать приходит обычно с опытом, в процессе работы.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своеобразный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кодекс требований к аннотациям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 включает следующие положения:</w:t>
      </w:r>
    </w:p>
    <w:p w:rsidR="00BB65D1" w:rsidRDefault="00BB65D1" w:rsidP="00BB65D1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она должна быть лаконичной (длинные аннотации не всегда дочитыв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ся до конца) и в то же время достаточно конкретной; соблюдать единство времени и единообразие глагольных форм; </w:t>
      </w:r>
    </w:p>
    <w:p w:rsidR="00BB65D1" w:rsidRDefault="00BB65D1" w:rsidP="00BB65D1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аннотация не должна повторять сведения, содержащиеся в названии и перефразировать их;</w:t>
      </w:r>
    </w:p>
    <w:p w:rsidR="00BB65D1" w:rsidRDefault="00BB65D1" w:rsidP="00BB65D1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каждой библиографической работы желательно придерживаться примерно одинакового объема аннотаций и соблюдать логический порядок приводимых сведений;</w:t>
      </w:r>
    </w:p>
    <w:p w:rsidR="00BB65D1" w:rsidRDefault="00BB65D1" w:rsidP="00BB65D1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научная терминология должна быть общепринятой, неизвестные терм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пояснены.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Результатом рассмотренных выше аналитических операций библиограф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рования является библиографическая запись – основной элемент библиогр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фического пособия. Она включает в себя библиографическое описание, 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тацию и (в некоторых пособиях) классификационный индекс.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Синтетический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подэтап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включает:</w:t>
      </w:r>
    </w:p>
    <w:p w:rsidR="00BB65D1" w:rsidRDefault="00BB65D1" w:rsidP="00BB65D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отбор документов;</w:t>
      </w:r>
    </w:p>
    <w:p w:rsidR="00BB65D1" w:rsidRDefault="00BB65D1" w:rsidP="00BB65D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группировку библиографических записей.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Отбор документов – один из важнейших процессов библиографирова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ния. В данном случае под отбором понимается ограничение массива вклю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чаемой в пособие информации в соответствии с намеченными качественны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крит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риями.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Следует учесть, что имеется ряд пособий, составляемых без использов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процедуры отбора. К их числу относятся:</w:t>
      </w:r>
    </w:p>
    <w:p w:rsidR="00BB65D1" w:rsidRDefault="00BB65D1" w:rsidP="00BB65D1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библиографические указатели местной печати,</w:t>
      </w:r>
    </w:p>
    <w:p w:rsidR="00BB65D1" w:rsidRDefault="00BB65D1" w:rsidP="00BB65D1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указатели произведений какого-либо автора,</w:t>
      </w:r>
    </w:p>
    <w:p w:rsidR="00BB65D1" w:rsidRDefault="00BB65D1" w:rsidP="00BB65D1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указатели изданий определенных издательств и типографий.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основе таких пособий лежит стремление к исчерпывающей полноте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ражения соответствующей литературы, и качественная оценка включенных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кументов в этих случаях не производится. Во всех остальных случаях в той или иной степени производится оценка и отбор включаемых в пособие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Проверяется группировка библиографических записей (возможно, неко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торые разделы пособия недостаточно наполнены, их следует убрать или,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оборот, дополнить); порядок их следования друг за другом (чтобы каждый документ занял свое место в нужном разделе, рубрике и т. д.); производится нумерация. Нумерация особенно необходима, если при создании библиогр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фического пособия предусмотрено составление вспомогательных указателей.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Библиографическая группировка помогает читателям лучше ориентиро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ваться в пособии, быстро находить необходимые материалы, подсказывает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следовательность знакомства с литературой.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способами группировки являются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формальный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содержатель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и рекомендательный.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Формальная группировка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(наиболее проста для библиографа) обеспеч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вает поиск документов по внешнему признаку: автору, заглавию, виду изд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 месту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дания и т. д.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Содержательная группировка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предполагает обращение библиографа к 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нотациям или рефератам и распределение материала по темам. При этом различают систематическую, тематиче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скую и предметную группировки.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систематической группировке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 располагается по опреде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ленной схеме классификации (ББК, УДК, по другим универсальным клас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сификациям, чаще всего – отраслевым научным классификациям).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Тематическая группировка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более подвижной структурой, что предполагает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бо´льшую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меньшую детализацию разделов и подразделов, возможность изменять их последовательность.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предметной группировке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записи располагают в алфавите наимено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ваний предметных рубрик, что позволяет быстро находить материал по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кретным, узким вопросам.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pacing w:val="-1"/>
          <w:sz w:val="28"/>
          <w:szCs w:val="28"/>
          <w:lang w:eastAsia="ru-RU"/>
        </w:rPr>
        <w:t>Рекомендательная группировка</w:t>
      </w:r>
      <w:r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преследует цели руководства чтением, несет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педагогическую направленность и может быть осуществлена в разли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вари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антах от общего к частному,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простого к сложному.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правило, в большинстве пособий используется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сложная группиров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ка материала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основанная на сочетании нескольких вариантов – например, по тематическим разделам, подразделам, рубрикам 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подрубрикам. а в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делах последнего деления – по заранее выбранной формальной группировке (в алфавите 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торов, в прямой или обратной хронологии и т. д.).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ЗАКЛЮЧИТЕЛЬНЫЙ ЭТАП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Включает подготовку справочного аппарата, редактирование и оформле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ние библиографического пособия.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состав справочного аппарата входят: предисловие, вступительная (вво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дная) статья, вспомогательные указатели, приложения, содержание, 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ские советы.</w:t>
      </w:r>
      <w:proofErr w:type="gramEnd"/>
    </w:p>
    <w:p w:rsidR="00BB65D1" w:rsidRDefault="00BB65D1" w:rsidP="00BB65D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Предисловие (от составителя) (с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мотри Приложение 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открывает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бое, даже срав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нительно небольшое пособие. Содержит:</w:t>
      </w:r>
    </w:p>
    <w:p w:rsidR="00BB65D1" w:rsidRDefault="00BB65D1" w:rsidP="00BB65D1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назначении пособия;</w:t>
      </w:r>
    </w:p>
    <w:p w:rsidR="00BB65D1" w:rsidRDefault="00BB65D1" w:rsidP="00BB65D1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характеристику отраженных в нем документов;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объяснение способа размещения материала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указание вида аннотаций, которые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пользуются в данном пособии </w:t>
      </w:r>
    </w:p>
    <w:p w:rsidR="00BB65D1" w:rsidRDefault="00BB65D1" w:rsidP="00BB65D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(справочные, рекомендательные)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перечисление имеющихся вспомогательных указателей (с характеристи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 особенностей их построения и возможности практического исполь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зования);</w:t>
      </w:r>
    </w:p>
    <w:p w:rsidR="00BB65D1" w:rsidRDefault="00BB65D1" w:rsidP="00BB65D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хронологические границы отбора материала.</w:t>
      </w:r>
    </w:p>
    <w:p w:rsidR="00BB65D1" w:rsidRDefault="00BB65D1" w:rsidP="00BB65D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Вступительная (вводная) статья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используется, в основном, в крупных ретроспективных научно-вспомогательных и рекомендательных пособиях, персональных указателях и представляет собой развернутый обзор основных документов по теме пособия или обзорную статью по теме пособия. Напис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статьи требует глубоких знаний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мета и часто осуществляется с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влечением специалистов-консультантов данной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расли.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расположения материала в основном тексте пособия, следует зара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нее продумать систему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вспомогательных указателей,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помогающих орие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роваться в литературе.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 содержанию выделяют следующие виды вспомогательных указателей:</w:t>
      </w:r>
    </w:p>
    <w:p w:rsidR="00BB65D1" w:rsidRDefault="00BB65D1" w:rsidP="00BB65D1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pacing w:val="-5"/>
          <w:sz w:val="28"/>
          <w:szCs w:val="28"/>
          <w:lang w:eastAsia="ru-RU"/>
        </w:rPr>
        <w:t>указатель авторов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, строится в алфавитном порядке авторов, вкл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чает 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также фамилии всех соавторов, авторов статей в сборниках, упомянутых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аннотациях и примечаниях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65D1" w:rsidRDefault="00BB65D1" w:rsidP="00BB65D1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часто указатель авторов совмещают с указателем лиц, участвова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ших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создании произведений: редакторов, составителей, иллюстраторов,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переводчиков и т. д. В этих случаях мы имеем дело уже с вспомога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тельным 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именным указателем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Поскольку здесь перечисляются лица, принимавшие разное участие в издании, необходимо обязательно по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яснить, в качестве к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 выступает то или иное лицо. Именной указа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тель отражает также фамилии лиц, характеризуемых или упоминаемых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литературе («персоналии»), в этом случае номера документов о 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берутся в круглые скобки;</w:t>
      </w:r>
    </w:p>
    <w:p w:rsidR="00BB65D1" w:rsidRDefault="00BB65D1" w:rsidP="00BB65D1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pacing w:val="-8"/>
          <w:sz w:val="28"/>
          <w:szCs w:val="28"/>
          <w:lang w:eastAsia="ru-RU"/>
        </w:rPr>
        <w:t>персональные указатели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могут составляться и как самостоятельные, в та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ком случае персональную рубрику необходимо снабжать указаниями на 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профессию, род деятельности, заслуги того иди иного лица;</w:t>
      </w:r>
    </w:p>
    <w:p w:rsidR="00BB65D1" w:rsidRDefault="00BB65D1" w:rsidP="00BB65D1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pacing w:val="-8"/>
          <w:sz w:val="28"/>
          <w:szCs w:val="28"/>
          <w:lang w:eastAsia="ru-RU"/>
        </w:rPr>
        <w:t>предметные указатели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содержат перечни названий предметов;</w:t>
      </w:r>
    </w:p>
    <w:p w:rsidR="00BB65D1" w:rsidRDefault="00BB65D1" w:rsidP="00BB65D1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pacing w:val="-8"/>
          <w:sz w:val="28"/>
          <w:szCs w:val="28"/>
          <w:lang w:eastAsia="ru-RU"/>
        </w:rPr>
        <w:t>географический указатель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содержит перечень наименований физ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ко-гео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графических, административно-территориальных, исторических, архео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логических объектов, которые могут дополняться пояснениями, раскры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вающими род объекта (река, озеро, гора и т. п.);</w:t>
      </w:r>
      <w:proofErr w:type="gramEnd"/>
    </w:p>
    <w:p w:rsidR="00BB65D1" w:rsidRDefault="00BB65D1" w:rsidP="00BB65D1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pacing w:val="-7"/>
          <w:sz w:val="28"/>
          <w:szCs w:val="28"/>
          <w:lang w:eastAsia="ru-RU"/>
        </w:rPr>
        <w:lastRenderedPageBreak/>
        <w:t>указатели наименований коллективов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содержат перечни фирм, учрежде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 и других организаций;</w:t>
      </w:r>
    </w:p>
    <w:p w:rsidR="00BB65D1" w:rsidRDefault="00BB65D1" w:rsidP="00BB65D1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указатели заглавий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изданий и других документов.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Выбор вспомогательных указателей зависит от тематики, структуры, объема, чита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>тельского адреса и целевого назначения издания. Более сложный текст 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дания пред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полагает более полный и разнообразный компле</w:t>
      </w:r>
      <w:proofErr w:type="gram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кс   всп</w:t>
      </w:r>
      <w:proofErr w:type="gram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омогател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ных указателей.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В приложении 5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приведен пример алфавитного указателя авторов и работ,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опубликованных</w:t>
      </w:r>
      <w:proofErr w:type="gram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под заглавием. Если литература в списке не пронумерована, можно вместо номера записи указывать номер страницы, на которой дано оп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сание документа.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приложений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библиографическим пособиям входят:</w:t>
      </w:r>
    </w:p>
    <w:p w:rsidR="00BB65D1" w:rsidRDefault="00BB65D1" w:rsidP="00BB65D1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списки просмотренных источников (каталоги, картотеки,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прикнижные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пристатейные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списки литературы, библиографические посо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бия и т. д., –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водятся все источники, которые просматривались составителем),</w:t>
      </w:r>
    </w:p>
    <w:p w:rsidR="00BB65D1" w:rsidRDefault="00BB65D1" w:rsidP="00BB65D1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списки условных сокращений, </w:t>
      </w:r>
    </w:p>
    <w:p w:rsidR="00BB65D1" w:rsidRDefault="00BB65D1" w:rsidP="00BB65D1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списки документов, вышедших после окончания работы над пособием.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пособием завершается его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редактированием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оформлением.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редактирования проверяется правильность библиографическ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описания, исправляются стилистические погрешности и неточности,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ры, неудачные выражения и т. д. Различают научно-библиографическое, литературное и технико-библиографическое редактирование.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осуществляется в течение всей работы над пособием, а второе и третье – после ее окончания. При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научном редактировании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проверяется правильность отбора материала, насколько полно раскрыта тема в предста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ленных документах. Научному редактированию подвергается текст аннот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ций. В задачи научного редактора входит также выяснение вопроса, достат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чен ли набор вспомогательных указателей.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литературного редактирования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вычитка всего текста пособия. При этом исправляются встречающиеся стилистич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ские погрешности и неточности, повторы, неудачные выражения, опечатки. В рекомендательных аннотациях следует обратить внимание на преодоление штампов, придать аннотациям разнообразный и живой характер, вызыва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щий читательский интерес к представленным в пособии произведениям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чати.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Литературному редактированию подлежат также вступительные тексты к разделам, наименования разделов, подразделов и рубрик. Надо следить за тем, чтобы такие наименования наиболее точно отражали содержание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ментов соответствующего деления. Особенно существенно это в рекоменд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тельных указателях, где составители нередко стремятся дать разделам яркие, привлекательные названия.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технико-библиографического редактирования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проверяется единообразие и точность описаний, их соответствие действующим станда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там (на библиографическое описание и сокращение русских слов и словос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четаний). Выясняется также, правильно ли пронумерованы библиографич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ские записи.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Последняя операция –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оформление библиографического пособия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включает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ление титульного листа, оборота титульного листа, офор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ление колонтитулов и т. д. В ходе оформле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принимается окончательное решение о выборе размеров и видов шриф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та, о выделении разделов и подра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делов, единообразии использования различных шрифтовых выделений.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ставляется содержание пособия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смотри Приложение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Осуществляется художественное оформление пособия: создание обложки, подбор и подг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товка иллюстративного материала.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любое издание, пособие открывается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титульным листом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мотри Приложение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 нем указывается: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название организации,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отдел,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заглавие указателя,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 издания (или тип пособия),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и год издания.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обороте титульного листа следует указывать (с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мотри Приложение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составителей и оформителей, лиц, ответственных за издание пособия,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библиографическое описание пособия (в соответствии с вышеуказанн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ГОСТами),</w:t>
      </w:r>
    </w:p>
    <w:p w:rsidR="00BB65D1" w:rsidRDefault="00BB65D1" w:rsidP="00BB65D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индексы библиографической классификации.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имеет правильное оформление библиографической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писи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смотри Приложение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Каждый ее элемент (библиографическое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сание, аннотация, классификационные индексы и др.) помещается с новой строки. В печатных указателях описания и аннотации целесообразно наб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рать разными размерами шрифта (аннотацию – можно курсивом). Сами зап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 отделяются друг от друга пробелами. Целесообразно также нумеровать записи.</w:t>
      </w:r>
      <w:r>
        <w:rPr>
          <w:rFonts w:ascii="Times New Roman" w:eastAsia="Times New Roman" w:hAnsi="Times New Roman"/>
          <w:color w:val="C0504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Порядковые номера записей могут быть выделены полужирным шрифтом.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Различные шрифты и размеры кегля используются также для заглавий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делов, подразделов, рубрик и подрубрик.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Художественное оформление библиографических пособий предполагает широкое использование различных иллюстративных материалов: фотокопий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ложек наиболее интересных изданий, портретов, карт и т. д.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Яркая выразительная обложка украшает пособие и привлекает к нему 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мание читателей. Однако не надо забывать, что элементы внешнего оформления должны раскрывать основное содержание пособия.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Частная методика подготовки библиографических пособий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Рассмотрим, прежде всего, базовые (основные) типы библиографических пособий. 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типы библиографических пособий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Информационный список (бюллетень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пособие с простой структурой. Наши библиотеки в основном выпускают такие списки для регулярного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вещения читателей о новых поступлениях. Материал в пособии размещается в систематическом порядке согласно схеме ББК. Библиографическая запись состоит из библиографического описания, на неинформативные заглавия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справочная аннотация, после библиографического описания указывается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сигла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подразделения библиотеки, в котором хранится данная книга. На полях с левой стороны от библиографической записи указывается шифр хранения книги в библиотеке.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Бюллетень снабжается кратким предисловием, в котором раскрываются цель издания, принципы построения, правила оформления заказов на книги, условные сокращения.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 из важнейших требований к бюллетеням – оперативность их изд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 Оптимальный вариант в современных условиях – ежеквартально или раз в полугодие.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Библиографический указатель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библиографическое пособие знач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тельного объема со сложной структурой и научно-справочным аппаратом. Библиографические указатели составляются в помощь учебной и научно-исследовательской деятельности; посвящаются персоналиям ученых, писат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лей; различным экономическим аспектам; вопросам, связанным с крупными политическими кампаниями, юбилейными и памятными датами, событиями внутренней и международной жизни; региональной тематике и краеведению.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Библиографические указатели отличает сложность структуры (наличие разделов, подразделов и т. п.). В большинстве своем они имеют научно-справочный (справочно-поисковый) аппарат, основными элементами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являются предисловие, содержание и вспомогательные указатели. Выбор того или иного вспомогательного указателя в каждом конкретном пособии определяется его видом, целевым назначением, видами отражаемых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ментов и группировкой записи в основной части. Чем больше в указателе различных вспомогательных указателей, тем шире его поисковые возможн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Библиографический список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библиографическое пособие с простой структурой. В качестве синонима используется термин «список литературы».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Такое пособие включает библиографические записи на материалы по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теме или вопросу, оно невелико по объему и несложно по структуре,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этому не имеет справочно-поискового аппарата. Библиографические записи группируются в разделы, причем в начале списка должен быть предусмотрен общий раздел для литературы по теме в целом. Предисловие, вводный текст к разделам и аннотации должны быть краткими. В старых учебниках 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лось, что объем списка не должен превышать 20 названий, но сейчас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кретных цифр не приводится. Главное, чтобы была простая структура,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нятная читателю.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биобиблиографическое пособие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пособие, посвященное какому-либо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лицу: писателю, ученому, политику и т д.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Это может быть как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иблиографический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указатель, так и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иблиографический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ло, оно состоит из следующих разделов: предисловие, биографический очерк (биографическая справка), основные даты жизни и деятельности, список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произведений лично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сти, литература о его жизни и деятельности.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биографическом очерке основное внимание уделяется характеристике важнейших направлений профессиональной, творческой, государственной и общественной деятельности человека, которому посвящено пособие.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Биографический очерк должен быть связан с основными датами жизни и деятельности человека. В основных датах жизни и деятельности после 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года приводится краткая запись основного события.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Библиографические описания в биобиблиографических пособиях, как прави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ло, не аннотируются. Но, если биографические справки минимальные, а списки лите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ратуры объемные, то необходимо аннотировать, хотя бы 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нейшие публикации, а также публикации, посвященные какому-либо аспекту деятельности данного лица.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Библиографический обзор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библиографическое пособие, представля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щее собой связное повествование.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Различаются по назначению (информац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онные, рекомендательные) и по содержанию (универсальные, отраслевые, тематические, персональные).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Универсальные обзоры по назначению обычно информационные (обзоры новых поступлений и т.д.). Цель информационных обзоров – привлечь внимание населения к фондам библиотек, следовательно, привлечь новых читателей.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библиографических обзорах характеристика произведений дополняется необходимыми пояснениями и фактическими сведениями. Обычно докуме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 в обзоре группируются по принципу «от общего – к частному»,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стого – к сложному.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Обязательными элементами библиографического обзора являются всту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ление, основная часть, заключение.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вводной части обосновывается тема, отмечается ее специфика, указ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целевое и читательское назначение обзора.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Основная часть – это рассказ о документах. Характеристика каждого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кумента содержит сведения об авторе, название документа (желательно дать полное библиографическое описание документа), сведения о рассматрива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мых вопросах. Обязательно составляются тексты-связки, которые объедин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 все части обзора в целостное повествование. В заключительной части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зора подводятся итоги, даются рекомендации, указывается дополнительная литература по данной теме. Иногда читателям сообщаются сведения о крит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ческих статьях и рецензиях, о библиографических изданиях по теме обзора.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 основной части были названы только автор и название документа, после заключения приводится список литературы. В этом списке даются полные библиографические описания всех упоминаемых в обзоре докуме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форме библиографические пособия можно разделить на две гру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пы: пособия крупных и пособия малых форм.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Крупными формами принято считать библиографические указатели,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теводители, очерки и обзоры, библиографические антологии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энциклоп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Малые формы библиографии – списки литературы, памятки,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кладки, листовки, планы чтения и т. п.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библиотеках в последнее время приобрели популярность именно малые формы рекомендательной библиографии. Они оперативны, помогают сво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 донести до читателя информацию о новой литературе, писателях, юбилейных датах, обо всем, что интересно вашим пользователям.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Библиографическая закладка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разновидность рекомендательного 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лиографического пособия в форме краткого списка литературы, предназн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ченного читателям определенной книги (группы книг), связанного с ней по содержанию, подготовленного средствами традиционной или электронн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библиографической технологии и вложенного в издание в виде книжной за- кладки. Цель библиографической закладки – пробудить читательский инт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 к определенной книге, автору или теме.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Библиографическая закладка представляет собой полосу бумаги разного размера (чаще узкую). На одной стороне закладки помещается название и изображение обложки книги, к которой она составлена (главная книга), а на обратной стороне содержится информация о других изданиях, близких к ней по тематике или жанру, которые имеются в фонде или список других прои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ведений этого же автора. Наряду с художественной литературой закладка может включать и научно-популярную литературу: очерки, публицистика по этой же теме. Формат закладки: ширина – 5 – 8 см, высота – 25–30 см. В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кладке дается обычно до 10 названий. Обязательным элементом является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ращение к читателю и далее идет остальной текст, располагается список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тературы. Библиографическая закладка использует разнообразные методы характеристики литературы: сплошное аннотирование, раскрытие темы во вводном тексте и др. Расположение материала в списке: от простого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алфавите авторов и заглавий художественных произведений, от более значимой книги к менее значимой и т.д.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закладка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ствием рекомендательного списка. Если информационная закладка посвящ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писателю, то она, как правило, содержит информацию об этом писателе, его фотографию, фото обложки его книги, небольшой отрывок из произвед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 В информационной закладке желательно указывать наличие данной кн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 в фонде библиотеки и/или дать ссылку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интернет-ресурс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 которого вз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информация. В практике выявились два варианта библиографической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кладки: «С чего начать?» и «Что читать дальше?»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Список-закладка «С чего начать?»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составляется в тех случаях, когда читателю нужна помощь в самостоятельном изучении интересующего его вопроса. В отличие от обычного списка литературы, подобный список рек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мендует первые книги для чтения, близкие по содержанию и степени досту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(3–5 названий), которые дают лишь самые основные сведения по теме. Этот вид пособия рассчитан на читателей-неспециалистов, главным образом, детей, молодежь. Литературу из такого списка можно читать по выбору. Список-закладка «С чего начать?»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снабжена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небольшим вступительным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стом, а библиографические описания книг – аннотациями. В аннотации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лательно показать специфику каждой книги – по содержанию, форме изл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жения, подчеркнуть ее значение в ряду других книг по данной теме.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Список-закладка «Что читать дальше?»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читателю расш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рить, углубить знания об интересующих его событиях, фактах, лицах 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дельных темах. Известно, что книга, которая произвела сильное впечатление, вызывает желание знать как можно более подробно обо всем, что связано с ее героями, желание прочитать другие интересные произведения по этой же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ме. Здесь может оказать помощь небольшой список, который оформляется как закладка в определенную книгу (роман, повесть, мемуары) на ту или иную тему. Готовая закладка тиражируется и вкладывается в книгу, которая считается заглавной и рекомендует книги по той же теме, что и заглавное произведение и выдается вместе с книгой.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Списки «Что читать дальше» не предусматривают соблюдения опред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ленной последовательности в чтении произведений. Они предоставляют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тателю возможность выбора (взять те книги, которые его больше интерес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ют). При оформлении закладки на лицевой стороне (или на обложке) прив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дят библиографическое описание заглавного произведения, могут дать здесь же краткую аннотацию. Но чаще всего для связи с другими произведениями служит текст, который помещается в основной части пособия.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жанр библиографического пособия малой формы рекламного (буклет) или рекомендательного пособия. Библиографическая памятка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назначена для помощи читателям в первоначальном знакомстве с книгами по актуальной теме, о деятельности какого-либо лица, чаще всего в связи с юб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леем, или об общественно значимом либо историческом событии. Содержит библиографическую информацию в виде списка или беседы о книгах, а также фактические сведения по теме и рекомендует читателю минимум литерат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ры, связанной узким вопросом.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персональной памятки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читателя с основными прои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ведениями определенного лица (писателя, деятеля искусства и др.) и помочь в изучении его жизни и творчества. Для памятки отбираются наиболее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издания его произведений, имеющиеся в библиотеке, а также литерат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ра, посвященная его жизни и творчеству: воспоминания, издания докуме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тального и биографического характера, художественные произведения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жанров. Наряду с отдельными изданиями рекомендуются также главы из книг, вступительные статьи, очерки, материалы из газет, журналов и сборн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ков, посвященные данному лицу. Персональная памятка составляется в большинстве случаев к знаменательной или памятной дате в связи с юбилеем определенной замечательной личности (писателя, ученого и т.п.) Разделы памятки следуют друг за другом в определенном порядке: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предисловие (или введение) с краткой биографической справкой (нео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ходимые фактические сведения и информация об истории создания произв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дений);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обзор основных произведений;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список основных изданий и публикаций (если в библиотеке одно и то же произведение представлено в разных изданиях, то выбирают одно, более новое издание или издание, оснащенное научно-справочным аппаратом);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краткий список литературы о жизни и творчестве (сначала приводят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библиографические описания книг, характеризующих жизнь и творчество в целом, а затем литературу об отдельных периодах и конкретных произвед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ниях).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Тот же самый принцип используется при составлении библиографической памятки о каком-либо значимом событии: описание события, по возможн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фотография или иллюстрация и небольшой рекомендательный список литературы. </w:t>
      </w:r>
    </w:p>
    <w:p w:rsidR="00BB65D1" w:rsidRDefault="00BB65D1" w:rsidP="00BB6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Библиографическую памятку можно использовать для первоначального ознакомления с темой, творчеством автора, но не для углубленного изучения. Часто библиотекари оформляют памятки в виде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буклета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издания в виде одного листа печатного материала, сфальцованного любым способом в два или более сгибов. 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Рекомендательные пособия «малой формы» для молодых читателей – первая ступень к формированию читательских интересов, серьезной самоо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разовательной работе. 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Краеведческие библиографические пособия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Библиотеки широко прак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тикуют составление списков, памяток, планов чтения краеведческой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матики. Этой работе присуща своя специфика. При отборе материалов след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учитывать связь произведений с краем – его прошлым и настоя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щим, с жизнью и деятельностью людей, живших и живущих в крае. Поэто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при выявлении литературы в первую очередь просматривают краеведческие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талоги, картоте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ки, базы данных, основные краеведческие библиографические пособия. Составителям краеведческих пособий необходимо осуществлять отбор многочисленных газетных публикаций, обращая внимание на качество публикаций.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Аннотирование произведений краеведческого характера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тоже имеет свои особенности. Составляются преимущественно аналитические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нотации, в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торых важно не просто сообщить факты, имена, географические названия, упомянутые в произведениях, но и привести сведения, наиболее интересные с точки зрения изучения края, можно использовать также метод цитирования, перепечатки небольших текстов из редких и не всегда досту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источников.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краеведческим пособиям, как правило, составляются именные, геогр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ческие, персональные, тематические и другие вспомогательные указатели.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более значимыми из них являются географические и персональные.</w:t>
      </w:r>
      <w:proofErr w:type="gramEnd"/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Самые распространенные краеведческие библиографические пособия – это: универсальные текущие, такие как «Литература о крае» (например, об Амурской области) или «Новая литература о районе (городе)».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Объектами отображения в таких указателях являются любые носители информации: книги, фрагменты книг,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тьи из местной и центральной печати, фотодок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менты, картографические 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териалы. Используются короткие справочные 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тации.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Поистине незаменимыми стали персональные памятки краеведческого характера. Обычно эти публикации содержат краткую информацию о жизни людей, их достижениях, творчестве; перечень произведений; публикации о них в прессе. Помимо этого, в них печатаются тексты самых значительных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произведений (если это поэт), обычно 3–5 наименований. Часто такие памя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 выпускаются к персональным книжным выставкам и другим мероприят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Календарей знаменательных и памятных дат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разить фактографические и библиографические сведения о значи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тельных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гиональных событиях, юбилеях, которые празднуются в теку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щем году. В структуру календаря входят предисловие, список дат, основная часть, всп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могательные указатели. Основная часть вмещает текстовые справки по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там, а также фактографические, статистические, библиографические и дру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гие материалы. После каждой текстовой справки дается список литературы – 5–10 названий наиболее значимых и новых публикаций, а также архивных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кументов и т. д. Могут составляться вспомогательные указатели именной (персоналий), организаций  и географический.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заключение следует отметить, что освоение методики составления 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лиографических пособий является актуальной задачей для библиотечных специалистов. Связано это с сокращением количества подобных изданий, выпускаемых крупными библиографическими центрами, и их большой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лью в организации чтения. Документы, отражаемые в библиографических пособиях созданных крупнейшим библиографическими центрами страны, не всегда соответствуют фонду муниципальных библиотек; в библиографич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ских пособиях, подготовленных центрами федерального и регионального подчинения, в большинстве случаев, не отражаются краеведческие издания.</w:t>
      </w:r>
    </w:p>
    <w:p w:rsidR="00BB65D1" w:rsidRDefault="00BB65D1" w:rsidP="00BB65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D1" w:rsidRDefault="00BB65D1" w:rsidP="00BB65D1">
      <w:pPr>
        <w:rPr>
          <w:rFonts w:asciiTheme="minorHAnsi" w:eastAsiaTheme="minorHAnsi" w:hAnsiTheme="minorHAnsi" w:cstheme="minorBidi"/>
        </w:rPr>
      </w:pPr>
    </w:p>
    <w:p w:rsidR="00BB65D1" w:rsidRDefault="00BB65D1" w:rsidP="00BB65D1"/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667382" w:rsidRDefault="00667382">
      <w:pP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br w:type="page"/>
      </w:r>
    </w:p>
    <w:p w:rsidR="00BB65D1" w:rsidRDefault="00BB65D1" w:rsidP="00BB65D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lastRenderedPageBreak/>
        <w:t>Приложение 1</w:t>
      </w:r>
    </w:p>
    <w:p w:rsidR="00BB65D1" w:rsidRDefault="00BB65D1" w:rsidP="00BB65D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Амурская областная научная библиотека </w:t>
      </w: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имени Н.Н. Муравьева-Амурского</w:t>
      </w:r>
    </w:p>
    <w:p w:rsidR="00BB65D1" w:rsidRDefault="00BB65D1" w:rsidP="00BB65D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Информационно-библиографический отдел</w:t>
      </w: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36"/>
          <w:szCs w:val="36"/>
          <w:lang w:eastAsia="ru-RU"/>
        </w:rPr>
        <w:t xml:space="preserve">ПАМЯТИ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36"/>
          <w:szCs w:val="36"/>
          <w:lang w:eastAsia="ru-RU"/>
        </w:rPr>
        <w:t>ДОСТОИН</w:t>
      </w:r>
      <w:proofErr w:type="gramEnd"/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 xml:space="preserve">К 205-летию со дня рождения </w:t>
      </w: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>Н.Н. Муравьёва-Амурского</w:t>
      </w: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Биобиблиографический указатель</w:t>
      </w: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2-е издание, дополненное</w:t>
      </w: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Благовещенск</w:t>
      </w:r>
    </w:p>
    <w:p w:rsidR="00BB65D1" w:rsidRDefault="00D442FD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Theme="minorHAnsi" w:eastAsiaTheme="minorHAnsi" w:hAnsiTheme="minorHAnsi" w:cstheme="minorBidi"/>
        </w:rPr>
        <w:pict>
          <v:rect id="_x0000_s1029" style="position:absolute;left:0;text-align:left;margin-left:201pt;margin-top:16.7pt;width:54.65pt;height:36.65pt;z-index:251655680" fillcolor="white [3212]" stroked="f"/>
        </w:pict>
      </w:r>
      <w:r w:rsidR="00BB65D1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2014</w:t>
      </w: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667382" w:rsidRDefault="00667382">
      <w:pP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br w:type="page"/>
      </w: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lastRenderedPageBreak/>
        <w:t>Приложение 2</w:t>
      </w: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91.9:63</w:t>
      </w: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Памяти достоин : к 205-летию со дня рождения Н. Н. Муравьёва-Амурского :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биобиблиогр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 указ. – 2-е изд., доп. / Амур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бл. науч. б-ка им. Н. Н. Муравьева-Амурского ; сост. Л. П. Кочнева. – Благовещенск, 2014. – 52 с.</w:t>
      </w: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Составитель: Л.П. Кочнева</w:t>
      </w: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Ответственный за выпуск: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Н.Г. Долгорук</w:t>
      </w: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Компьютерная вёрстка: М.И.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Гнускова</w:t>
      </w:r>
      <w:proofErr w:type="spellEnd"/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©</w:t>
      </w:r>
      <w:r w:rsidR="00D442FD">
        <w:rPr>
          <w:rFonts w:asciiTheme="minorHAnsi" w:eastAsiaTheme="minorHAnsi" w:hAnsiTheme="minorHAnsi" w:cstheme="minorBidi"/>
        </w:rPr>
        <w:pict>
          <v:rect id="_x0000_s1030" style="position:absolute;left:0;text-align:left;margin-left:421.95pt;margin-top:-57.4pt;width:54.75pt;height:32.95pt;z-index:251656704;mso-position-horizontal-relative:text;mso-position-vertical-relative:text" stroked="f"/>
        </w:pic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Амурская областная научная библиотека </w:t>
      </w:r>
    </w:p>
    <w:p w:rsidR="00BB65D1" w:rsidRDefault="00BB65D1" w:rsidP="00BB65D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имени Н. Н. Муравьева-Амурского</w:t>
      </w:r>
    </w:p>
    <w:p w:rsidR="00667382" w:rsidRDefault="00667382">
      <w:pPr>
        <w:rPr>
          <w:rFonts w:ascii="Times New Roman" w:eastAsia="Times New Roman" w:hAnsi="Times New Roman"/>
          <w:b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32"/>
          <w:szCs w:val="32"/>
          <w:lang w:eastAsia="ru-RU"/>
        </w:rPr>
        <w:br w:type="page"/>
      </w:r>
    </w:p>
    <w:p w:rsidR="00BB65D1" w:rsidRDefault="00BB65D1" w:rsidP="00BB65D1">
      <w:pPr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32"/>
          <w:szCs w:val="32"/>
          <w:lang w:eastAsia="ru-RU"/>
        </w:rPr>
        <w:lastRenderedPageBreak/>
        <w:t>Приложение 3</w:t>
      </w:r>
    </w:p>
    <w:p w:rsidR="00BB65D1" w:rsidRDefault="00BB65D1" w:rsidP="00BB65D1">
      <w:pPr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СОДЕРЖАНИЕ</w:t>
      </w:r>
    </w:p>
    <w:p w:rsidR="00BB65D1" w:rsidRDefault="00BB65D1" w:rsidP="00BB65D1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</w:pP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708"/>
      </w:tblGrid>
      <w:tr w:rsidR="00BB65D1" w:rsidTr="00BB65D1">
        <w:tc>
          <w:tcPr>
            <w:tcW w:w="9039" w:type="dxa"/>
          </w:tcPr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BB65D1" w:rsidTr="00BB65D1">
        <w:tc>
          <w:tcPr>
            <w:tcW w:w="9039" w:type="dxa"/>
            <w:hideMark/>
          </w:tcPr>
          <w:p w:rsidR="00BB65D1" w:rsidRDefault="00BB65D1">
            <w:pPr>
              <w:widowControl w:val="0"/>
              <w:spacing w:after="20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От составителя</w:t>
            </w:r>
          </w:p>
        </w:tc>
        <w:tc>
          <w:tcPr>
            <w:tcW w:w="708" w:type="dxa"/>
            <w:hideMark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BB65D1" w:rsidTr="00BB65D1">
        <w:tc>
          <w:tcPr>
            <w:tcW w:w="9039" w:type="dxa"/>
          </w:tcPr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Николай Николаевич Муравьёв-Амурский:</w:t>
            </w:r>
          </w:p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биографическая справка </w:t>
            </w:r>
          </w:p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BB65D1" w:rsidTr="00BB65D1">
        <w:tc>
          <w:tcPr>
            <w:tcW w:w="9039" w:type="dxa"/>
            <w:hideMark/>
          </w:tcPr>
          <w:p w:rsidR="00BB65D1" w:rsidRDefault="00BB65D1">
            <w:pPr>
              <w:widowControl w:val="0"/>
              <w:spacing w:after="20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Литература</w:t>
            </w:r>
          </w:p>
        </w:tc>
        <w:tc>
          <w:tcPr>
            <w:tcW w:w="708" w:type="dxa"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BB65D1" w:rsidTr="00BB65D1">
        <w:tc>
          <w:tcPr>
            <w:tcW w:w="9039" w:type="dxa"/>
            <w:hideMark/>
          </w:tcPr>
          <w:p w:rsidR="00BB65D1" w:rsidRDefault="00BB65D1">
            <w:pPr>
              <w:widowControl w:val="0"/>
              <w:spacing w:after="20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Жизнь и деятельность Н.Н. Муравьёва-Амурского</w:t>
            </w:r>
          </w:p>
        </w:tc>
        <w:tc>
          <w:tcPr>
            <w:tcW w:w="708" w:type="dxa"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BB65D1" w:rsidTr="00BB65D1">
        <w:tc>
          <w:tcPr>
            <w:tcW w:w="9039" w:type="dxa"/>
            <w:hideMark/>
          </w:tcPr>
          <w:p w:rsidR="00BB65D1" w:rsidRDefault="00BB65D1">
            <w:pPr>
              <w:widowControl w:val="0"/>
              <w:spacing w:after="20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   Книги</w:t>
            </w:r>
          </w:p>
        </w:tc>
        <w:tc>
          <w:tcPr>
            <w:tcW w:w="708" w:type="dxa"/>
            <w:hideMark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</w:tr>
      <w:tr w:rsidR="00BB65D1" w:rsidTr="00BB65D1">
        <w:tc>
          <w:tcPr>
            <w:tcW w:w="9039" w:type="dxa"/>
            <w:hideMark/>
          </w:tcPr>
          <w:p w:rsidR="00BB65D1" w:rsidRDefault="00BB65D1">
            <w:pPr>
              <w:widowControl w:val="0"/>
              <w:spacing w:after="20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   Статьи из периодических изданий и сборников</w:t>
            </w:r>
          </w:p>
        </w:tc>
        <w:tc>
          <w:tcPr>
            <w:tcW w:w="708" w:type="dxa"/>
            <w:hideMark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</w:tr>
      <w:tr w:rsidR="00BB65D1" w:rsidTr="00BB65D1">
        <w:tc>
          <w:tcPr>
            <w:tcW w:w="9039" w:type="dxa"/>
          </w:tcPr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Воспоминания современников о</w:t>
            </w:r>
          </w:p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Н.Н.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Муравьёве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-Амурском</w:t>
            </w:r>
            <w:proofErr w:type="gramEnd"/>
          </w:p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hideMark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24</w:t>
            </w:r>
          </w:p>
        </w:tc>
      </w:tr>
      <w:tr w:rsidR="00BB65D1" w:rsidTr="00BB65D1">
        <w:tc>
          <w:tcPr>
            <w:tcW w:w="9039" w:type="dxa"/>
          </w:tcPr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Н.Н. Муравьёв-Амурский в произведениях</w:t>
            </w:r>
          </w:p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литературы и искусства</w:t>
            </w:r>
          </w:p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26</w:t>
            </w:r>
          </w:p>
        </w:tc>
      </w:tr>
      <w:tr w:rsidR="00BB65D1" w:rsidTr="00BB65D1">
        <w:tc>
          <w:tcPr>
            <w:tcW w:w="9039" w:type="dxa"/>
          </w:tcPr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Памятные места, связанные с именем</w:t>
            </w:r>
          </w:p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   Н.Н. Муравьёва-Амурского</w:t>
            </w:r>
          </w:p>
          <w:p w:rsidR="00BB65D1" w:rsidRDefault="00BB65D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28</w:t>
            </w:r>
          </w:p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BB65D1" w:rsidTr="00BB65D1">
        <w:tc>
          <w:tcPr>
            <w:tcW w:w="9039" w:type="dxa"/>
            <w:hideMark/>
          </w:tcPr>
          <w:p w:rsidR="00BB65D1" w:rsidRDefault="00BB65D1">
            <w:pPr>
              <w:widowControl w:val="0"/>
              <w:ind w:firstLine="0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Алфавитный указатель авторов и работ, опубликованных под заглавием</w:t>
            </w:r>
          </w:p>
        </w:tc>
        <w:tc>
          <w:tcPr>
            <w:tcW w:w="708" w:type="dxa"/>
            <w:hideMark/>
          </w:tcPr>
          <w:p w:rsidR="00BB65D1" w:rsidRDefault="00BB65D1">
            <w:pPr>
              <w:widowControl w:val="0"/>
              <w:ind w:firstLine="0"/>
              <w:jc w:val="righ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30</w:t>
            </w:r>
          </w:p>
        </w:tc>
      </w:tr>
      <w:tr w:rsidR="00BB65D1" w:rsidTr="00BB65D1">
        <w:tc>
          <w:tcPr>
            <w:tcW w:w="9039" w:type="dxa"/>
          </w:tcPr>
          <w:p w:rsidR="00BB65D1" w:rsidRDefault="00BB65D1">
            <w:pPr>
              <w:widowControl w:val="0"/>
              <w:ind w:firstLine="567"/>
              <w:rPr>
                <w:rFonts w:ascii="a_AlgeriusCapsNr" w:eastAsia="Times New Roman" w:hAnsi="a_AlgeriusCapsNr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B65D1" w:rsidRDefault="00BB65D1">
            <w:pPr>
              <w:widowControl w:val="0"/>
              <w:jc w:val="right"/>
              <w:rPr>
                <w:rFonts w:ascii="a_AlgeriusCapsNr" w:eastAsia="Times New Roman" w:hAnsi="a_AlgeriusCapsNr"/>
                <w:color w:val="000000"/>
                <w:kern w:val="28"/>
                <w:sz w:val="32"/>
                <w:szCs w:val="32"/>
                <w:lang w:eastAsia="ru-RU"/>
              </w:rPr>
            </w:pPr>
          </w:p>
        </w:tc>
      </w:tr>
    </w:tbl>
    <w:p w:rsidR="00BB65D1" w:rsidRDefault="00BB65D1" w:rsidP="00BB65D1">
      <w:pPr>
        <w:widowControl w:val="0"/>
        <w:spacing w:after="0" w:line="240" w:lineRule="auto"/>
        <w:rPr>
          <w:rFonts w:ascii="a_AlgeriusCapsNr" w:eastAsia="Times New Roman" w:hAnsi="a_AlgeriusCapsNr"/>
          <w:color w:val="000000"/>
          <w:kern w:val="28"/>
          <w:sz w:val="32"/>
          <w:szCs w:val="32"/>
          <w:lang w:eastAsia="ru-RU"/>
        </w:rPr>
      </w:pPr>
    </w:p>
    <w:p w:rsidR="00667382" w:rsidRDefault="00667382" w:rsidP="00667382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667382" w:rsidRDefault="00667382">
      <w:pP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br w:type="page"/>
      </w:r>
    </w:p>
    <w:p w:rsidR="00BB65D1" w:rsidRDefault="00BB65D1" w:rsidP="00BB65D1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lastRenderedPageBreak/>
        <w:t>Приложение 4</w:t>
      </w:r>
    </w:p>
    <w:p w:rsidR="00BB65D1" w:rsidRDefault="00BB65D1" w:rsidP="00BB65D1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ОТ СОСТАВИТЕЛЯ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Биобиблиографический указатель «Памяти достоин» посвящён 205-летию со дня рождения Николая Николаевича Муравьёва-Амурского (1809–1881) – генерал-губернатора Восточной Сибири (1847–1861). Главным д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стижением Н.Н Муравьёва на этом посту стало присоединение к России Приамурья и Приморья. Он проводил активную деятельность по изучению, освоению и заселению Дальнего Востока, его государственному устройству. Н.Н. Муравьёв от имени российского правительства подписал </w:t>
      </w:r>
      <w:proofErr w:type="spellStart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Айгунский</w:t>
      </w:r>
      <w:proofErr w:type="spellEnd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 российско-китайский договор 1858 г., утвердивший государственную границу России с Китаем по реке Амур, за что получил титул графа с присоединен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ем к его фамилии именования Амурский, а также чин генерала от инфант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рии.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Предлагаемый указатель является вторым, дополненным изданием, вкл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чающим более 100 библиографических записей на книги, статьи из сборн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ков, журналов и газет, изданные с 1857 по 2013 годы и находящиеся в фонде Амурской областной научной библиотеки имени Н.Н. Муравьёва-Амурского.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Указатель открывает биографическая справка, основанная на матери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лах статьи П.Н. Зырянова «Николай Николаевич Муравьёв-Амурский» (В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просы истории. – 2008. – № 1).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Литература в указателе сгруппирована в четырёх разделах: «Жизнь и деятельность Н.Н. Муравьёва-Амурского» (разделён на книги и статьи), «Воспоминания современников о Н.Н. </w:t>
      </w:r>
      <w:proofErr w:type="spellStart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Муравьёве</w:t>
      </w:r>
      <w:proofErr w:type="spellEnd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-Амурском», «Н.Н. Муравьёв-Амурский в произведениях литературы и искусства», «Памятные места, связанные с именем Н.Н. Муравьёва-Амурского». Внутри разделов книги и статьи расположены в алфавите авторов и заглавий. 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Указатель снабжён алфавитным указателем авторов и работ, опублик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ванных под заглавием. Он адресован самому широкому кругу читателей, и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тересующихся историей Приамурья.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667382" w:rsidRDefault="00667382">
      <w:pP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br w:type="page"/>
      </w:r>
    </w:p>
    <w:p w:rsidR="00BB65D1" w:rsidRDefault="00BB65D1" w:rsidP="00667382">
      <w:pPr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lastRenderedPageBreak/>
        <w:t>Приложение 5</w:t>
      </w:r>
    </w:p>
    <w:p w:rsidR="00BB65D1" w:rsidRDefault="00BB65D1" w:rsidP="00BB65D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АЛФАВИТНЫЙ УКАЗАТЕЛЬ АВТОРОВ И РАБОТ,</w:t>
      </w:r>
    </w:p>
    <w:p w:rsidR="00BB65D1" w:rsidRDefault="00BB65D1" w:rsidP="00BB65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ОПУБЛИКОВАННЫХ</w:t>
      </w:r>
      <w:proofErr w:type="gramEnd"/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ПОД ЗАГЛАВИЕМ*</w:t>
      </w:r>
    </w:p>
    <w:p w:rsidR="00BB65D1" w:rsidRDefault="00BB65D1" w:rsidP="00BB65D1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tbl>
      <w:tblPr>
        <w:tblStyle w:val="2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Аверина Г. В.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Алексеев А. И.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1, 11, 13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Альбом рисунков к путешествию на Амур…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79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Бакунин М. А.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64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Барсуков И. П.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65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Батюшков К. Н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Бачурин А. М.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80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Богданов Р. К.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66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Болховитинов Л. М.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Бурилова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М. Ф.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5, 15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Буссе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Ф. Ф.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Васильев А. П.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81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Ващенко Г.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Венюков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М. И.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67, 68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Волков Л.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82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Волкова И.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Вольхин В.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19, 20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Гонсович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Е. В.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21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Гончаров И. А.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69, 83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Гурылев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Ю.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84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Данилов С. И.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22, 23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Дубинина Н. И.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24, 25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Ермацанс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И. А.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26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Ефимов И. В.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71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Захаренко И. А.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27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Землепроходец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28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Зырянов П. Н.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29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И отзовется именем твоим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94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Игнатенко И. Д.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85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Ильюхов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95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Имя на карте Приамурья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96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Кабанов П. И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Кандауров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86, 97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Кильчанский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30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Коваленко А. И.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32</w:t>
            </w:r>
          </w:p>
        </w:tc>
      </w:tr>
      <w:tr w:rsidR="00BB65D1" w:rsidTr="00BB65D1">
        <w:tc>
          <w:tcPr>
            <w:tcW w:w="8330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Яганов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417" w:type="dxa"/>
            <w:hideMark/>
          </w:tcPr>
          <w:p w:rsidR="00BB65D1" w:rsidRDefault="00BB65D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93</w:t>
            </w:r>
          </w:p>
        </w:tc>
      </w:tr>
    </w:tbl>
    <w:p w:rsidR="00BB65D1" w:rsidRDefault="00BB65D1" w:rsidP="00BB65D1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B65D1" w:rsidRDefault="00BB65D1" w:rsidP="00BB65D1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Число является порядковым номером библиографической записи.</w:t>
      </w:r>
    </w:p>
    <w:p w:rsidR="00BB65D1" w:rsidRDefault="00BB65D1" w:rsidP="00BB65D1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t>Приложение 6</w:t>
      </w:r>
    </w:p>
    <w:p w:rsidR="00BB65D1" w:rsidRDefault="00BB65D1" w:rsidP="00BB65D1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ЖИЗНЬ И ДЕЯТЕЛЬНОСТЬ Н.Н. МУРАВЬЁВА-АМУРСКОГО</w:t>
      </w:r>
    </w:p>
    <w:p w:rsidR="00BB65D1" w:rsidRDefault="00BB65D1" w:rsidP="00BB65D1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lang w:eastAsia="ru-RU"/>
        </w:rPr>
        <w:t>КНИГИ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ab/>
        <w:t xml:space="preserve">Алексеев, А. И. Освоение русскими людьми Дальнего Востока и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Рус-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ской</w:t>
      </w:r>
      <w:proofErr w:type="spellEnd"/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Америки до конца XIX в. / А. И. Алексеев. – Москва, 1982. – 288 с. – Из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содерж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.: сведения о Н. Н.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Муравьёве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-Амурском: с. 53–56, 58–60, 80–83, 172–174. 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ab/>
        <w:t>Батюшков, К. Н. Сочинения. Т. 3. Письма, 1797–1853 / К. Н. Батюшков. – Санкт-Петербург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Тип.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Котомина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, 1886. – 804 с. – Из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содерж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.: сведения об отце Н. Н. Муравьёва-Амурского – Н. Н.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Муравьёве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: с. 628–632.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ab/>
        <w:t xml:space="preserve">Кабанов, П. И. Амурский вопрос / П. И. Кабанов. – Благовещенск, 1959. – 255 с. 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В книге немало страниц посвящено Н.Н. </w:t>
      </w:r>
      <w:proofErr w:type="spellStart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Муравьёву</w:t>
      </w:r>
      <w:proofErr w:type="spellEnd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-Амурскому: </w:t>
      </w:r>
      <w:proofErr w:type="gramStart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дана</w:t>
      </w:r>
      <w:proofErr w:type="gramEnd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 ха-</w:t>
      </w:r>
      <w:proofErr w:type="spellStart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рактеристика</w:t>
      </w:r>
      <w:proofErr w:type="spellEnd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 его личности, его административной деятельности в Во-сточной Сибири, представлен его вклад в развитие внешнеполитических о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ношений России с Китаем (Гл. 6–11). 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ab/>
        <w:t>Кутузов, М. А. Честь генерал-губернатора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Н. Н. Муравьёв-Амурский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док.-ист. очерк / М. А. Кутузов. – Владивосток, 1997. – 131 с.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Муравьёвский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век на Амуре / авт.-сост. М. Ф.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Бурилова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. – Хабаровск, 1991. – 30 с. 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Книга посвящена деятельности Н.Н. Муравьёва в Восточной Сибири, д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на его краткая биография, рассказано о памятнике </w:t>
      </w:r>
      <w:proofErr w:type="spellStart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Муравьёву</w:t>
      </w:r>
      <w:proofErr w:type="spellEnd"/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 xml:space="preserve"> в Хабаровске.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ab/>
        <w:t>Памяти достоин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к 200-летию со дня рождения Н. Н. Муравьёва-Амурского :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биобиблиогр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 указ. / Амур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бл. науч. б-ка им Н. Н Муравьёва-Амурского ; сост.: Л. П. Кочнева, Е. И.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Щеблюн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 – Благовещенск, 2009. – 23 с.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ab/>
        <w:t>Приамурье: факты, цифры, наблюдения : собраны на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ал. Востоке с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трудниками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общезем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 орг.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прил. к отчёту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общезем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. орг. за 1908 г. / [под ред. Т.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Полнера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]. – Москва, 1909. – 922 с. – Из </w:t>
      </w:r>
      <w:proofErr w:type="spell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содерж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.: деятельность Н. Н. Мур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вьёва в Вост. Сибири: с. 30–82.</w:t>
      </w: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</w:p>
    <w:p w:rsidR="00BB65D1" w:rsidRDefault="00BB65D1" w:rsidP="00BB6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ab/>
        <w:t>Штейн, М. Н. Н. Муравьёв-Амурский : ист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.-</w:t>
      </w:r>
      <w:proofErr w:type="spellStart"/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биогр</w:t>
      </w:r>
      <w:proofErr w:type="spell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 очерк / Н. Н. Штейн. – Благовещенск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Приамурье, 1992. – 38 с. </w:t>
      </w:r>
    </w:p>
    <w:p w:rsidR="00EB210E" w:rsidRPr="00EB210E" w:rsidRDefault="00BB65D1" w:rsidP="00667382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В очерке историка Моисея Григорьевича Штейна генерал-губернатор В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сточной Сибири представлен выдающейся личностью и талантливым гос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i/>
          <w:color w:val="000000"/>
          <w:kern w:val="28"/>
          <w:sz w:val="28"/>
          <w:szCs w:val="28"/>
          <w:lang w:eastAsia="ru-RU"/>
        </w:rPr>
        <w:t>дарственным деятелем. К очерку прилагается родословное древо.</w:t>
      </w:r>
    </w:p>
    <w:sectPr w:rsidR="00EB210E" w:rsidRPr="00EB210E" w:rsidSect="00206D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88" w:rsidRDefault="00A72A88" w:rsidP="00087689">
      <w:pPr>
        <w:spacing w:after="0" w:line="240" w:lineRule="auto"/>
      </w:pPr>
      <w:r>
        <w:separator/>
      </w:r>
    </w:p>
  </w:endnote>
  <w:endnote w:type="continuationSeparator" w:id="0">
    <w:p w:rsidR="00A72A88" w:rsidRDefault="00A72A88" w:rsidP="0008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CapsNr">
    <w:altName w:val="Courier New"/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88" w:rsidRDefault="00A72A88" w:rsidP="00087689">
      <w:pPr>
        <w:spacing w:after="0" w:line="240" w:lineRule="auto"/>
      </w:pPr>
      <w:r>
        <w:separator/>
      </w:r>
    </w:p>
  </w:footnote>
  <w:footnote w:type="continuationSeparator" w:id="0">
    <w:p w:rsidR="00A72A88" w:rsidRDefault="00A72A88" w:rsidP="0008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087689" w:rsidTr="005812BE">
      <w:tc>
        <w:tcPr>
          <w:tcW w:w="828" w:type="pct"/>
        </w:tcPr>
        <w:p w:rsidR="00087689" w:rsidRDefault="001316F9" w:rsidP="001316F9">
          <w:pPr>
            <w:pStyle w:val="a4"/>
            <w:jc w:val="center"/>
            <w:rPr>
              <w:rFonts w:ascii="Times New Roman" w:eastAsiaTheme="majorEastAsia" w:hAnsi="Times New Roman"/>
              <w:sz w:val="20"/>
              <w:szCs w:val="20"/>
            </w:rPr>
          </w:pPr>
          <w:r>
            <w:rPr>
              <w:rFonts w:ascii="Times New Roman" w:eastAsiaTheme="majorEastAsia" w:hAnsi="Times New Roman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590598" cy="3048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АОНБ логотип.png"/>
                        <pic:cNvPicPr/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319" cy="308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087689" w:rsidRPr="00E81F2B" w:rsidRDefault="00087689" w:rsidP="005812BE">
          <w:pPr>
            <w:pStyle w:val="a4"/>
            <w:jc w:val="center"/>
            <w:rPr>
              <w:rFonts w:ascii="Times New Roman" w:eastAsiaTheme="majorEastAsia" w:hAnsi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087689" w:rsidRDefault="00087689" w:rsidP="005812BE">
          <w:pPr>
            <w:pStyle w:val="a4"/>
            <w:jc w:val="center"/>
            <w:rPr>
              <w:rFonts w:ascii="Times New Roman" w:eastAsiaTheme="majorEastAsia" w:hAnsi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</w:p>
      </w:tc>
    </w:tr>
  </w:tbl>
  <w:p w:rsidR="00087689" w:rsidRPr="00087689" w:rsidRDefault="00087689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801F90"/>
    <w:lvl w:ilvl="0">
      <w:numFmt w:val="bullet"/>
      <w:lvlText w:val="*"/>
      <w:lvlJc w:val="left"/>
      <w:pPr>
        <w:ind w:left="0" w:firstLine="851"/>
      </w:pPr>
    </w:lvl>
  </w:abstractNum>
  <w:abstractNum w:abstractNumId="1">
    <w:nsid w:val="2ABA4C38"/>
    <w:multiLevelType w:val="hybridMultilevel"/>
    <w:tmpl w:val="8034D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F763D"/>
    <w:multiLevelType w:val="multilevel"/>
    <w:tmpl w:val="371A42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40"/>
        <w:lvlJc w:val="left"/>
        <w:pPr>
          <w:ind w:left="0" w:firstLine="851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851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851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54"/>
        <w:lvlJc w:val="left"/>
        <w:pPr>
          <w:ind w:left="0" w:firstLine="851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851"/>
        </w:pPr>
        <w:rPr>
          <w:rFonts w:ascii="Arial" w:hAnsi="Arial" w:cs="Arial" w:hint="default"/>
        </w:rPr>
      </w:lvl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851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B4E"/>
    <w:rsid w:val="00066864"/>
    <w:rsid w:val="00087689"/>
    <w:rsid w:val="001316F9"/>
    <w:rsid w:val="00170ABA"/>
    <w:rsid w:val="001F7569"/>
    <w:rsid w:val="00206DB8"/>
    <w:rsid w:val="002A5AC4"/>
    <w:rsid w:val="002B6482"/>
    <w:rsid w:val="00303041"/>
    <w:rsid w:val="00320AD4"/>
    <w:rsid w:val="00371E71"/>
    <w:rsid w:val="003A0507"/>
    <w:rsid w:val="003E3DD2"/>
    <w:rsid w:val="00407F0B"/>
    <w:rsid w:val="00576003"/>
    <w:rsid w:val="00667382"/>
    <w:rsid w:val="00763AEE"/>
    <w:rsid w:val="0076512F"/>
    <w:rsid w:val="007E7B4E"/>
    <w:rsid w:val="007F55FA"/>
    <w:rsid w:val="00825D87"/>
    <w:rsid w:val="00860AEE"/>
    <w:rsid w:val="00997C4A"/>
    <w:rsid w:val="00A32CEE"/>
    <w:rsid w:val="00A72A88"/>
    <w:rsid w:val="00B04606"/>
    <w:rsid w:val="00BB65D1"/>
    <w:rsid w:val="00BD147A"/>
    <w:rsid w:val="00C55E6C"/>
    <w:rsid w:val="00D442FD"/>
    <w:rsid w:val="00D56468"/>
    <w:rsid w:val="00E1711B"/>
    <w:rsid w:val="00EB210E"/>
    <w:rsid w:val="00EE4280"/>
    <w:rsid w:val="00F12F7E"/>
    <w:rsid w:val="00F4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4E"/>
    <w:pPr>
      <w:ind w:left="720"/>
      <w:contextualSpacing/>
    </w:pPr>
  </w:style>
  <w:style w:type="paragraph" w:customStyle="1" w:styleId="Default">
    <w:name w:val="Default"/>
    <w:rsid w:val="007E7B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E7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763AEE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3A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8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6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689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8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689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EB210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210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B2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EB210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B65D1"/>
    <w:pPr>
      <w:spacing w:after="0" w:line="240" w:lineRule="auto"/>
      <w:ind w:firstLine="397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BB65D1"/>
    <w:pPr>
      <w:spacing w:after="0" w:line="240" w:lineRule="auto"/>
      <w:ind w:firstLine="397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7B4E"/>
    <w:pPr>
      <w:ind w:left="720"/>
      <w:contextualSpacing/>
    </w:pPr>
  </w:style>
  <w:style w:type="paragraph" w:customStyle="1" w:styleId="Default">
    <w:name w:val="Default"/>
    <w:uiPriority w:val="99"/>
    <w:rsid w:val="007E7B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E7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763AEE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3A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8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6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689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8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15</cp:revision>
  <dcterms:created xsi:type="dcterms:W3CDTF">2014-03-27T02:15:00Z</dcterms:created>
  <dcterms:modified xsi:type="dcterms:W3CDTF">2017-05-18T06:54:00Z</dcterms:modified>
</cp:coreProperties>
</file>